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b/>
          <w:sz w:val="32"/>
          <w:szCs w:val="32"/>
        </w:rPr>
      </w:pPr>
      <w:r>
        <w:rPr>
          <w:rFonts w:hint="eastAsia"/>
          <w:b/>
          <w:sz w:val="32"/>
          <w:szCs w:val="32"/>
        </w:rPr>
        <w:t>《化学》专业硕士研究生复试录取工作细则</w:t>
      </w:r>
    </w:p>
    <w:p>
      <w:pPr>
        <w:spacing w:line="360" w:lineRule="exact"/>
        <w:jc w:val="center"/>
        <w:rPr>
          <w:kern w:val="0"/>
          <w:sz w:val="24"/>
          <w:szCs w:val="22"/>
        </w:rPr>
      </w:pPr>
      <w:r>
        <w:rPr>
          <w:rFonts w:hint="eastAsia"/>
          <w:kern w:val="0"/>
          <w:sz w:val="24"/>
          <w:szCs w:val="22"/>
        </w:rPr>
        <w:t>（学术学位）</w:t>
      </w:r>
    </w:p>
    <w:p>
      <w:pPr>
        <w:spacing w:line="440" w:lineRule="exact"/>
        <w:jc w:val="center"/>
        <w:rPr>
          <w:rFonts w:ascii="黑体" w:eastAsia="黑体"/>
          <w:b/>
          <w:sz w:val="32"/>
          <w:szCs w:val="32"/>
        </w:rPr>
      </w:pPr>
    </w:p>
    <w:p>
      <w:pPr>
        <w:spacing w:line="440" w:lineRule="exact"/>
        <w:jc w:val="center"/>
        <w:rPr>
          <w:rFonts w:ascii="黑体" w:eastAsia="黑体"/>
          <w:b/>
          <w:sz w:val="32"/>
          <w:szCs w:val="32"/>
        </w:rPr>
      </w:pPr>
    </w:p>
    <w:p>
      <w:pPr>
        <w:numPr>
          <w:ilvl w:val="0"/>
          <w:numId w:val="1"/>
        </w:numPr>
        <w:spacing w:before="156" w:beforeLines="50" w:after="156" w:afterLines="50" w:line="340" w:lineRule="exact"/>
        <w:ind w:firstLine="482" w:firstLineChars="200"/>
        <w:rPr>
          <w:kern w:val="0"/>
          <w:sz w:val="24"/>
        </w:rPr>
      </w:pPr>
      <w:r>
        <w:rPr>
          <w:rFonts w:hint="eastAsia" w:eastAsia="黑体"/>
          <w:b/>
          <w:sz w:val="24"/>
        </w:rPr>
        <w:t>复试小组成员：</w:t>
      </w:r>
    </w:p>
    <w:p>
      <w:pPr>
        <w:spacing w:line="340" w:lineRule="exact"/>
        <w:ind w:left="483" w:leftChars="230" w:firstLine="480" w:firstLineChars="200"/>
        <w:rPr>
          <w:kern w:val="0"/>
          <w:sz w:val="24"/>
        </w:rPr>
      </w:pPr>
      <w:r>
        <w:rPr>
          <w:rFonts w:hint="eastAsia"/>
          <w:kern w:val="0"/>
          <w:sz w:val="24"/>
        </w:rPr>
        <w:t>由本一级学科相应硕士导师组成。</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复试考生遴选标准：</w:t>
      </w:r>
    </w:p>
    <w:p>
      <w:pPr>
        <w:spacing w:line="312" w:lineRule="auto"/>
        <w:ind w:left="424" w:leftChars="202" w:firstLine="482" w:firstLineChars="200"/>
        <w:rPr>
          <w:kern w:val="0"/>
          <w:sz w:val="24"/>
        </w:rPr>
      </w:pPr>
      <w:r>
        <w:rPr>
          <w:rFonts w:hint="eastAsia"/>
          <w:b/>
          <w:kern w:val="0"/>
          <w:sz w:val="24"/>
        </w:rPr>
        <w:t>第一志愿考试上线考生</w:t>
      </w:r>
      <w:r>
        <w:rPr>
          <w:rFonts w:hint="eastAsia"/>
          <w:kern w:val="0"/>
          <w:sz w:val="24"/>
        </w:rPr>
        <w:t>自动进入复试名单；</w:t>
      </w:r>
      <w:bookmarkStart w:id="0" w:name="_Hlk67214104"/>
      <w:r>
        <w:rPr>
          <w:rFonts w:hint="eastAsia"/>
          <w:b/>
          <w:kern w:val="0"/>
          <w:sz w:val="24"/>
        </w:rPr>
        <w:t>调剂考生</w:t>
      </w:r>
      <w:r>
        <w:rPr>
          <w:rFonts w:hint="eastAsia"/>
          <w:kern w:val="0"/>
          <w:sz w:val="24"/>
        </w:rPr>
        <w:t>按照统考成绩的分数（</w:t>
      </w:r>
      <w:r>
        <w:rPr>
          <w:kern w:val="0"/>
          <w:sz w:val="24"/>
        </w:rPr>
        <w:t>换</w:t>
      </w:r>
      <w:r>
        <w:rPr>
          <w:rFonts w:hint="eastAsia"/>
          <w:kern w:val="0"/>
          <w:sz w:val="24"/>
        </w:rPr>
        <w:t>算</w:t>
      </w:r>
      <w:r>
        <w:rPr>
          <w:kern w:val="0"/>
          <w:sz w:val="24"/>
        </w:rPr>
        <w:t>为百分制</w:t>
      </w:r>
      <w:r>
        <w:rPr>
          <w:rFonts w:hint="eastAsia"/>
          <w:kern w:val="0"/>
          <w:sz w:val="24"/>
        </w:rPr>
        <w:t>），</w:t>
      </w:r>
      <w:bookmarkEnd w:id="0"/>
      <w:r>
        <w:rPr>
          <w:rFonts w:hint="eastAsia"/>
          <w:kern w:val="0"/>
          <w:sz w:val="24"/>
        </w:rPr>
        <w:t>由高到低按招生人数不低于1:1.2的比例进入复试名单（排名</w:t>
      </w:r>
      <w:r>
        <w:rPr>
          <w:kern w:val="0"/>
          <w:sz w:val="24"/>
        </w:rPr>
        <w:t>时</w:t>
      </w:r>
      <w:r>
        <w:rPr>
          <w:rFonts w:hint="eastAsia"/>
          <w:kern w:val="0"/>
          <w:sz w:val="24"/>
        </w:rPr>
        <w:t>不</w:t>
      </w:r>
      <w:r>
        <w:rPr>
          <w:kern w:val="0"/>
          <w:sz w:val="24"/>
        </w:rPr>
        <w:t>参考</w:t>
      </w:r>
      <w:r>
        <w:rPr>
          <w:rFonts w:hint="eastAsia"/>
          <w:kern w:val="0"/>
          <w:sz w:val="24"/>
        </w:rPr>
        <w:t>专业课成绩）。</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复试时间、地点、内容与方式 </w:t>
      </w:r>
    </w:p>
    <w:p>
      <w:pPr>
        <w:numPr>
          <w:ilvl w:val="0"/>
          <w:numId w:val="2"/>
        </w:numPr>
        <w:spacing w:line="400" w:lineRule="exact"/>
        <w:ind w:left="839"/>
        <w:rPr>
          <w:b/>
          <w:sz w:val="24"/>
        </w:rPr>
      </w:pPr>
      <w:r>
        <w:rPr>
          <w:rFonts w:hint="eastAsia"/>
          <w:b/>
          <w:sz w:val="24"/>
        </w:rPr>
        <w:t>复试方式为远程复试，复试分为专业复试和英语复试两部分</w:t>
      </w:r>
    </w:p>
    <w:p>
      <w:pPr>
        <w:spacing w:line="400" w:lineRule="exact"/>
        <w:ind w:left="839"/>
        <w:rPr>
          <w:b/>
          <w:bCs/>
          <w:sz w:val="24"/>
        </w:rPr>
      </w:pPr>
      <w:r>
        <w:rPr>
          <w:rFonts w:hint="eastAsia"/>
          <w:b/>
          <w:sz w:val="24"/>
        </w:rPr>
        <w:t>时间、地点</w:t>
      </w:r>
      <w:r>
        <w:rPr>
          <w:rFonts w:hint="eastAsia"/>
          <w:bCs/>
          <w:sz w:val="24"/>
        </w:rPr>
        <w:t>：</w:t>
      </w:r>
      <w:r>
        <w:rPr>
          <w:rFonts w:hint="eastAsia"/>
          <w:sz w:val="24"/>
        </w:rPr>
        <w:t>学院统一安排</w:t>
      </w:r>
      <w:r>
        <w:rPr>
          <w:rFonts w:hint="eastAsia"/>
          <w:sz w:val="24"/>
          <w:lang w:val="en-US" w:eastAsia="zh-CN"/>
        </w:rPr>
        <w:t xml:space="preserve">, </w:t>
      </w:r>
      <w:r>
        <w:rPr>
          <w:rFonts w:hint="eastAsia"/>
          <w:sz w:val="24"/>
        </w:rPr>
        <w:t>每个考生的面试时间为20-30分钟。</w:t>
      </w:r>
    </w:p>
    <w:p>
      <w:pPr>
        <w:numPr>
          <w:ilvl w:val="0"/>
          <w:numId w:val="2"/>
        </w:numPr>
        <w:spacing w:line="400" w:lineRule="exact"/>
        <w:ind w:left="839"/>
        <w:rPr>
          <w:b/>
          <w:sz w:val="24"/>
        </w:rPr>
      </w:pPr>
      <w:r>
        <w:rPr>
          <w:rFonts w:hint="eastAsia"/>
          <w:b/>
          <w:sz w:val="24"/>
        </w:rPr>
        <w:t>复试内容</w:t>
      </w:r>
    </w:p>
    <w:p>
      <w:pPr>
        <w:spacing w:line="340" w:lineRule="exact"/>
        <w:ind w:left="424" w:leftChars="202"/>
        <w:rPr>
          <w:kern w:val="0"/>
          <w:sz w:val="24"/>
        </w:rPr>
      </w:pPr>
      <w:r>
        <w:rPr>
          <w:rFonts w:hint="eastAsia"/>
          <w:b/>
          <w:kern w:val="0"/>
          <w:sz w:val="24"/>
        </w:rPr>
        <w:t>专业复试：</w:t>
      </w:r>
      <w:r>
        <w:rPr>
          <w:rFonts w:hint="eastAsia"/>
          <w:kern w:val="0"/>
          <w:sz w:val="24"/>
        </w:rPr>
        <w:t>通过复试小组对考生专业技能、研究兴趣、学士学位论文等相关内容进行提问，并结合有关佐证材料，考核考生专业水平与研究能力。在复试中，要重视平时学习成绩与工作业绩；重视创新精神与实践动手能力；重视初试和笔试考不易评判的专长，以确保研究生质量。</w:t>
      </w:r>
    </w:p>
    <w:p>
      <w:pPr>
        <w:spacing w:line="312" w:lineRule="auto"/>
        <w:ind w:left="424" w:leftChars="202" w:firstLine="480" w:firstLineChars="200"/>
        <w:rPr>
          <w:kern w:val="0"/>
          <w:sz w:val="24"/>
        </w:rPr>
      </w:pPr>
      <w:r>
        <w:rPr>
          <w:rFonts w:hint="eastAsia"/>
          <w:kern w:val="0"/>
          <w:sz w:val="24"/>
        </w:rPr>
        <w:t>从化学学科的发展动态、学生对专业知识掌握程度等方面提问，从学生回答问题的准确性、全面性和条理性，以</w:t>
      </w:r>
      <w:r>
        <w:rPr>
          <w:kern w:val="0"/>
          <w:sz w:val="24"/>
        </w:rPr>
        <w:t>及</w:t>
      </w:r>
      <w:r>
        <w:rPr>
          <w:rFonts w:hint="eastAsia"/>
          <w:kern w:val="0"/>
          <w:sz w:val="24"/>
        </w:rPr>
        <w:t>对本专业的理解能力和应变能力等情况进行打分。</w:t>
      </w:r>
    </w:p>
    <w:p>
      <w:pPr>
        <w:spacing w:line="312" w:lineRule="auto"/>
        <w:ind w:firstLine="720" w:firstLineChars="300"/>
        <w:rPr>
          <w:rFonts w:hint="eastAsia" w:eastAsia="宋体"/>
          <w:kern w:val="0"/>
          <w:sz w:val="24"/>
          <w:lang w:val="en-US" w:eastAsia="zh-CN"/>
        </w:rPr>
      </w:pPr>
      <w:r>
        <w:rPr>
          <w:rFonts w:hint="eastAsia"/>
          <w:kern w:val="0"/>
          <w:sz w:val="24"/>
        </w:rPr>
        <w:t>分析测试与传感器</w:t>
      </w:r>
      <w:r>
        <w:rPr>
          <w:rFonts w:hint="eastAsia"/>
          <w:kern w:val="0"/>
          <w:sz w:val="24"/>
          <w:lang w:eastAsia="zh-CN"/>
        </w:rPr>
        <w:t>方向，参考书：</w:t>
      </w:r>
      <w:r>
        <w:rPr>
          <w:rFonts w:hint="eastAsia"/>
          <w:kern w:val="0"/>
          <w:sz w:val="24"/>
        </w:rPr>
        <w:t>《波谱原理及解析》 常建华，董绮功编，科学出版社（2020年版）</w:t>
      </w:r>
      <w:r>
        <w:rPr>
          <w:rFonts w:hint="eastAsia"/>
          <w:kern w:val="0"/>
          <w:sz w:val="24"/>
          <w:lang w:eastAsia="zh-CN"/>
        </w:rPr>
        <w:t>。</w:t>
      </w:r>
    </w:p>
    <w:p>
      <w:pPr>
        <w:spacing w:line="312" w:lineRule="auto"/>
        <w:ind w:left="424" w:leftChars="202" w:firstLine="480" w:firstLineChars="200"/>
        <w:rPr>
          <w:kern w:val="0"/>
          <w:sz w:val="24"/>
        </w:rPr>
      </w:pPr>
      <w:r>
        <w:rPr>
          <w:rFonts w:hint="eastAsia"/>
          <w:kern w:val="0"/>
          <w:sz w:val="24"/>
        </w:rPr>
        <w:t>功能配合物方向，参考书：《配位化学--原理与应用》化学工业出版社，作者：章慧， ISBN：9787122027900。</w:t>
      </w:r>
    </w:p>
    <w:p>
      <w:pPr>
        <w:spacing w:line="312" w:lineRule="auto"/>
        <w:ind w:left="424" w:leftChars="202" w:firstLine="480" w:firstLineChars="200"/>
        <w:rPr>
          <w:kern w:val="0"/>
          <w:sz w:val="24"/>
        </w:rPr>
      </w:pPr>
      <w:r>
        <w:rPr>
          <w:rFonts w:hint="eastAsia"/>
          <w:kern w:val="0"/>
          <w:sz w:val="24"/>
        </w:rPr>
        <w:t>光电物理化学方向，参考书：《电化学原理》，北航第三版。</w:t>
      </w:r>
    </w:p>
    <w:p>
      <w:pPr>
        <w:spacing w:line="312" w:lineRule="auto"/>
        <w:ind w:left="424" w:leftChars="202" w:firstLine="480" w:firstLineChars="200"/>
        <w:rPr>
          <w:kern w:val="0"/>
          <w:sz w:val="24"/>
        </w:rPr>
      </w:pPr>
      <w:r>
        <w:rPr>
          <w:rFonts w:hint="eastAsia"/>
          <w:kern w:val="0"/>
          <w:sz w:val="24"/>
        </w:rPr>
        <w:t>功能有机化学方向，参考书：《有机合成简明教程》，高等教育出版社，作者：温永红、刘永军、李明，ISBN：9787040409642。</w:t>
      </w:r>
    </w:p>
    <w:p>
      <w:pPr>
        <w:spacing w:line="340" w:lineRule="exact"/>
        <w:ind w:left="424" w:leftChars="202"/>
        <w:rPr>
          <w:b/>
          <w:kern w:val="0"/>
          <w:sz w:val="24"/>
        </w:rPr>
      </w:pPr>
      <w:r>
        <w:rPr>
          <w:rFonts w:hint="eastAsia"/>
          <w:b/>
          <w:kern w:val="0"/>
          <w:sz w:val="24"/>
        </w:rPr>
        <w:t>英语复试：</w:t>
      </w:r>
    </w:p>
    <w:p>
      <w:pPr>
        <w:spacing w:line="312" w:lineRule="auto"/>
        <w:ind w:left="424" w:leftChars="202" w:firstLine="480" w:firstLineChars="200"/>
        <w:rPr>
          <w:kern w:val="0"/>
          <w:sz w:val="24"/>
        </w:rPr>
      </w:pPr>
      <w:r>
        <w:rPr>
          <w:rFonts w:hint="eastAsia"/>
          <w:kern w:val="0"/>
          <w:sz w:val="24"/>
        </w:rPr>
        <w:t>1）个人专业自述（英语介绍）</w:t>
      </w:r>
    </w:p>
    <w:p>
      <w:pPr>
        <w:spacing w:line="312" w:lineRule="auto"/>
        <w:ind w:left="424" w:leftChars="202" w:firstLine="480" w:firstLineChars="200"/>
        <w:rPr>
          <w:rFonts w:hint="eastAsia"/>
          <w:kern w:val="0"/>
          <w:sz w:val="24"/>
        </w:rPr>
      </w:pPr>
      <w:r>
        <w:rPr>
          <w:rFonts w:hint="eastAsia"/>
          <w:kern w:val="0"/>
          <w:sz w:val="24"/>
        </w:rPr>
        <w:t>2）复试过程回答面试小组的提问(英语)</w:t>
      </w:r>
    </w:p>
    <w:p>
      <w:pPr>
        <w:numPr>
          <w:ilvl w:val="0"/>
          <w:numId w:val="2"/>
        </w:numPr>
        <w:spacing w:line="400" w:lineRule="exact"/>
        <w:ind w:left="839"/>
        <w:rPr>
          <w:rFonts w:hint="default"/>
          <w:b/>
          <w:sz w:val="24"/>
          <w:highlight w:val="none"/>
          <w:lang w:val="en-US" w:eastAsia="zh-CN"/>
        </w:rPr>
      </w:pPr>
      <w:r>
        <w:rPr>
          <w:rFonts w:hint="eastAsia"/>
          <w:b/>
          <w:sz w:val="24"/>
          <w:highlight w:val="none"/>
          <w:lang w:val="en-US" w:eastAsia="zh-CN"/>
        </w:rPr>
        <w:t>加试</w:t>
      </w:r>
    </w:p>
    <w:p>
      <w:pPr>
        <w:spacing w:line="300" w:lineRule="auto"/>
        <w:ind w:firstLine="489" w:firstLineChars="204"/>
        <w:rPr>
          <w:rFonts w:hint="eastAsia" w:eastAsia="宋体"/>
          <w:b/>
          <w:sz w:val="24"/>
          <w:highlight w:val="none"/>
          <w:lang w:val="en-US" w:eastAsia="zh-CN"/>
        </w:rPr>
      </w:pPr>
      <w:r>
        <w:rPr>
          <w:rFonts w:hint="eastAsia" w:ascii="宋体" w:hAnsi="宋体"/>
          <w:sz w:val="24"/>
          <w:highlight w:val="none"/>
        </w:rPr>
        <w:t>我校各专业均不招收非本专业的同等学力考生，同等学力考生、跨专业考生、成人教育应届本科毕业生及复试时尚未取得本科毕业证书的自考和网络教育学生，须加试本专业两门与初试不同的本科主干课程</w:t>
      </w:r>
      <w:r>
        <w:rPr>
          <w:rFonts w:hint="eastAsia" w:ascii="宋体" w:hAnsi="宋体"/>
          <w:sz w:val="24"/>
          <w:highlight w:val="none"/>
          <w:lang w:eastAsia="zh-CN"/>
        </w:rPr>
        <w:t>。</w:t>
      </w:r>
      <w:r>
        <w:rPr>
          <w:rFonts w:ascii="宋体" w:hAnsi="宋体" w:eastAsia="宋体" w:cs="宋体"/>
          <w:sz w:val="24"/>
          <w:szCs w:val="24"/>
          <w:highlight w:val="none"/>
        </w:rPr>
        <w:t>加试科目请参考招生专题/招生专业目录</w:t>
      </w:r>
      <w:r>
        <w:rPr>
          <w:rFonts w:hint="eastAsia" w:ascii="宋体" w:hAnsi="宋体" w:cs="宋体"/>
          <w:sz w:val="24"/>
          <w:szCs w:val="24"/>
          <w:highlight w:val="none"/>
          <w:lang w:eastAsia="zh-CN"/>
        </w:rPr>
        <w:t>。</w:t>
      </w:r>
      <w:bookmarkStart w:id="2" w:name="_GoBack"/>
      <w:bookmarkEnd w:id="2"/>
    </w:p>
    <w:p>
      <w:pPr>
        <w:numPr>
          <w:ilvl w:val="0"/>
          <w:numId w:val="1"/>
        </w:numPr>
        <w:spacing w:before="156" w:beforeLines="50" w:after="156" w:afterLines="50" w:line="340" w:lineRule="exact"/>
        <w:ind w:firstLine="482" w:firstLineChars="200"/>
        <w:rPr>
          <w:rFonts w:eastAsia="黑体"/>
          <w:b/>
          <w:sz w:val="24"/>
        </w:rPr>
      </w:pPr>
      <w:bookmarkStart w:id="1" w:name="_Hlk67235914"/>
      <w:r>
        <w:rPr>
          <w:rFonts w:hint="eastAsia" w:eastAsia="黑体"/>
          <w:b/>
          <w:sz w:val="24"/>
        </w:rPr>
        <w:t xml:space="preserve">复试成绩 </w:t>
      </w:r>
    </w:p>
    <w:p>
      <w:pPr>
        <w:spacing w:line="340" w:lineRule="exact"/>
        <w:ind w:firstLine="482" w:firstLineChars="200"/>
        <w:rPr>
          <w:b/>
          <w:bCs/>
          <w:sz w:val="24"/>
        </w:rPr>
      </w:pPr>
      <w:r>
        <w:rPr>
          <w:rFonts w:hint="eastAsia"/>
          <w:b/>
          <w:bCs/>
          <w:sz w:val="24"/>
        </w:rPr>
        <w:t>复试成绩由英语复试成绩和专业课复试成绩构成，满分为</w:t>
      </w:r>
      <w:r>
        <w:rPr>
          <w:b/>
          <w:bCs/>
          <w:sz w:val="24"/>
        </w:rPr>
        <w:t>100</w:t>
      </w:r>
      <w:r>
        <w:rPr>
          <w:rFonts w:hint="eastAsia"/>
          <w:b/>
          <w:bCs/>
          <w:sz w:val="24"/>
        </w:rPr>
        <w:t>分，复试成绩低于</w:t>
      </w:r>
      <w:r>
        <w:rPr>
          <w:b/>
          <w:bCs/>
          <w:sz w:val="24"/>
        </w:rPr>
        <w:t>60</w:t>
      </w:r>
      <w:r>
        <w:rPr>
          <w:rFonts w:hint="eastAsia"/>
          <w:b/>
          <w:bCs/>
          <w:sz w:val="24"/>
        </w:rPr>
        <w:t>分者不予录取。</w:t>
      </w:r>
      <w:r>
        <w:rPr>
          <w:b/>
          <w:bCs/>
          <w:sz w:val="24"/>
        </w:rPr>
        <w:t xml:space="preserve"> </w:t>
      </w:r>
    </w:p>
    <w:p>
      <w:pPr>
        <w:spacing w:line="340" w:lineRule="exact"/>
        <w:ind w:firstLine="482" w:firstLineChars="200"/>
        <w:rPr>
          <w:sz w:val="24"/>
        </w:rPr>
      </w:pPr>
      <w:r>
        <w:rPr>
          <w:rFonts w:hint="eastAsia"/>
          <w:b/>
          <w:bCs/>
          <w:sz w:val="24"/>
        </w:rPr>
        <w:t>（1）英语复试成绩</w:t>
      </w:r>
      <w:r>
        <w:rPr>
          <w:b/>
          <w:bCs/>
          <w:sz w:val="24"/>
        </w:rPr>
        <w:t>25</w:t>
      </w:r>
      <w:r>
        <w:rPr>
          <w:rFonts w:hint="eastAsia"/>
          <w:b/>
          <w:bCs/>
          <w:sz w:val="24"/>
        </w:rPr>
        <w:t>分</w:t>
      </w:r>
      <w:r>
        <w:rPr>
          <w:rFonts w:hint="eastAsia"/>
          <w:sz w:val="24"/>
        </w:rPr>
        <w:t>，含英语个人专业自述、英语翻译、及回答小组的提问。</w:t>
      </w:r>
    </w:p>
    <w:p>
      <w:pPr>
        <w:spacing w:line="340" w:lineRule="exact"/>
        <w:ind w:firstLine="482" w:firstLineChars="200"/>
        <w:rPr>
          <w:sz w:val="24"/>
        </w:rPr>
      </w:pPr>
      <w:r>
        <w:rPr>
          <w:rFonts w:hint="eastAsia"/>
          <w:b/>
          <w:bCs/>
          <w:sz w:val="24"/>
        </w:rPr>
        <w:t>（2）专业复试成绩为</w:t>
      </w:r>
      <w:r>
        <w:rPr>
          <w:b/>
          <w:bCs/>
          <w:sz w:val="24"/>
        </w:rPr>
        <w:t>75</w:t>
      </w:r>
      <w:r>
        <w:rPr>
          <w:rFonts w:hint="eastAsia"/>
          <w:b/>
          <w:bCs/>
          <w:sz w:val="24"/>
        </w:rPr>
        <w:t>分</w:t>
      </w:r>
      <w:r>
        <w:rPr>
          <w:rFonts w:hint="eastAsia"/>
          <w:sz w:val="24"/>
        </w:rPr>
        <w:t>。</w:t>
      </w:r>
    </w:p>
    <w:bookmarkEnd w:id="1"/>
    <w:p>
      <w:pPr>
        <w:spacing w:line="340" w:lineRule="exact"/>
        <w:ind w:firstLine="482" w:firstLineChars="200"/>
        <w:rPr>
          <w:b/>
          <w:bCs/>
          <w:sz w:val="24"/>
        </w:rPr>
      </w:pP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录取成绩的计算 </w:t>
      </w:r>
    </w:p>
    <w:p>
      <w:pPr>
        <w:spacing w:line="312" w:lineRule="auto"/>
        <w:ind w:left="424" w:leftChars="202" w:firstLine="480" w:firstLineChars="200"/>
        <w:rPr>
          <w:kern w:val="0"/>
          <w:sz w:val="24"/>
        </w:rPr>
      </w:pPr>
      <w:r>
        <w:rPr>
          <w:rFonts w:hint="eastAsia"/>
          <w:kern w:val="0"/>
          <w:sz w:val="24"/>
        </w:rPr>
        <w:t>录取总分以100分计【初试成绩占60%（其中调剂生按统考成绩除</w:t>
      </w:r>
      <w:r>
        <w:rPr>
          <w:kern w:val="0"/>
          <w:sz w:val="24"/>
        </w:rPr>
        <w:t>以</w:t>
      </w:r>
      <w:r>
        <w:rPr>
          <w:rFonts w:hint="eastAsia"/>
          <w:kern w:val="0"/>
          <w:sz w:val="24"/>
        </w:rPr>
        <w:t>2，一志愿考生按初试成绩除</w:t>
      </w:r>
      <w:r>
        <w:rPr>
          <w:kern w:val="0"/>
          <w:sz w:val="24"/>
        </w:rPr>
        <w:t>以</w:t>
      </w:r>
      <w:r>
        <w:rPr>
          <w:rFonts w:hint="eastAsia"/>
          <w:kern w:val="0"/>
          <w:sz w:val="24"/>
        </w:rPr>
        <w:t>5，</w:t>
      </w:r>
      <w:r>
        <w:rPr>
          <w:kern w:val="0"/>
          <w:sz w:val="24"/>
        </w:rPr>
        <w:t>均</w:t>
      </w:r>
      <w:r>
        <w:rPr>
          <w:rFonts w:hint="eastAsia"/>
          <w:kern w:val="0"/>
          <w:sz w:val="24"/>
        </w:rPr>
        <w:t>换</w:t>
      </w:r>
      <w:r>
        <w:rPr>
          <w:kern w:val="0"/>
          <w:sz w:val="24"/>
        </w:rPr>
        <w:t>算为</w:t>
      </w:r>
      <w:r>
        <w:rPr>
          <w:rFonts w:hint="eastAsia"/>
          <w:kern w:val="0"/>
          <w:sz w:val="24"/>
        </w:rPr>
        <w:t>100分</w:t>
      </w:r>
      <w:r>
        <w:rPr>
          <w:kern w:val="0"/>
          <w:sz w:val="24"/>
        </w:rPr>
        <w:t>制</w:t>
      </w:r>
      <w:r>
        <w:rPr>
          <w:rFonts w:hint="eastAsia"/>
          <w:kern w:val="0"/>
          <w:sz w:val="24"/>
        </w:rPr>
        <w:t>计算），专业复试成绩占30%，英语复试成绩占10%】。按照录取总分择优录取。</w:t>
      </w:r>
    </w:p>
    <w:p>
      <w:pPr>
        <w:spacing w:line="312" w:lineRule="auto"/>
        <w:ind w:left="424" w:leftChars="202" w:firstLine="480" w:firstLineChars="200"/>
        <w:rPr>
          <w:kern w:val="0"/>
          <w:sz w:val="24"/>
        </w:rPr>
      </w:pPr>
      <w:r>
        <w:rPr>
          <w:rFonts w:hint="eastAsia"/>
          <w:kern w:val="0"/>
          <w:sz w:val="24"/>
        </w:rPr>
        <w:t>当两</w:t>
      </w:r>
      <w:r>
        <w:rPr>
          <w:kern w:val="0"/>
          <w:sz w:val="24"/>
        </w:rPr>
        <w:t>名</w:t>
      </w:r>
      <w:r>
        <w:rPr>
          <w:rFonts w:hint="eastAsia"/>
          <w:kern w:val="0"/>
          <w:sz w:val="24"/>
        </w:rPr>
        <w:t>及</w:t>
      </w:r>
      <w:r>
        <w:rPr>
          <w:kern w:val="0"/>
          <w:sz w:val="24"/>
        </w:rPr>
        <w:t>以上考生的</w:t>
      </w:r>
      <w:r>
        <w:rPr>
          <w:rFonts w:hint="eastAsia"/>
          <w:kern w:val="0"/>
          <w:sz w:val="24"/>
        </w:rPr>
        <w:t>录取总分一样，按照初试成绩中统考成绩择优录取。</w:t>
      </w:r>
    </w:p>
    <w:p>
      <w:pPr>
        <w:spacing w:line="312" w:lineRule="auto"/>
        <w:ind w:left="420" w:firstLine="480" w:firstLineChars="200"/>
        <w:rPr>
          <w:kern w:val="0"/>
          <w:sz w:val="24"/>
        </w:rPr>
      </w:pPr>
      <w:r>
        <w:rPr>
          <w:rFonts w:hint="eastAsia"/>
          <w:kern w:val="0"/>
          <w:sz w:val="24"/>
        </w:rPr>
        <w:t>第一志愿考生录取总分计算公式如下：</w:t>
      </w:r>
    </w:p>
    <w:p>
      <w:pPr>
        <w:spacing w:line="312" w:lineRule="auto"/>
        <w:ind w:left="420"/>
        <w:rPr>
          <w:kern w:val="0"/>
          <w:sz w:val="24"/>
        </w:rPr>
      </w:pPr>
      <m:oMathPara>
        <m:oMath>
          <m:f>
            <m:fPr>
              <m:ctrlPr>
                <w:rPr>
                  <w:rFonts w:ascii="Cambria Math" w:hAnsi="Cambria Math" w:eastAsia="Cambria Math"/>
                </w:rPr>
              </m:ctrlPr>
            </m:fPr>
            <m:num>
              <m:r>
                <m:rPr>
                  <m:sty m:val="p"/>
                </m:rPr>
                <w:rPr>
                  <w:rFonts w:hint="eastAsia" w:ascii="Cambria Math" w:hAnsi="Cambria Math" w:cs="宋体"/>
                </w:rPr>
                <m:t>初试</m:t>
              </m:r>
              <m:r>
                <m:rPr>
                  <m:sty m:val="p"/>
                </m:rPr>
                <w:rPr>
                  <w:rFonts w:hint="eastAsia" w:ascii="Cambria Math" w:hAnsi="宋体" w:cs="宋体"/>
                </w:rPr>
                <m:t>成绩</m:t>
              </m:r>
              <m:ctrlPr>
                <w:rPr>
                  <w:rFonts w:ascii="Cambria Math" w:hAnsi="Cambria Math" w:eastAsia="Cambria Math"/>
                </w:rPr>
              </m:ctrlPr>
            </m:num>
            <m:den>
              <m:r>
                <m:rPr>
                  <m:sty m:val="p"/>
                </m:rPr>
                <w:rPr>
                  <w:rFonts w:ascii="Cambria Math" w:hAnsi="Cambria Math" w:cs="Cambria Math"/>
                </w:rPr>
                <m:t>5</m:t>
              </m:r>
              <m:ctrlPr>
                <w:rPr>
                  <w:rFonts w:ascii="Cambria Math" w:hAnsi="Cambria Math" w:eastAsia="Cambria Math"/>
                </w:rPr>
              </m:ctrlPr>
            </m:den>
          </m:f>
          <m:r>
            <m:rPr/>
            <w:rPr>
              <w:rFonts w:ascii="Cambria Math" w:hAnsi="Cambria Math" w:eastAsia="Cambria Math"/>
            </w:rPr>
            <m:t xml:space="preserve"> </m:t>
          </m:r>
          <m:r>
            <m:rPr>
              <m:sty m:val="p"/>
            </m:rPr>
            <w:rPr>
              <w:rFonts w:ascii="Cambria Math" w:hAnsi="Cambria Math"/>
            </w:rPr>
            <m:t>×0.6+</m:t>
          </m:r>
          <m:r>
            <m:rPr>
              <m:sty m:val="p"/>
            </m:rPr>
            <w:rPr>
              <w:rFonts w:hint="eastAsia" w:ascii="Cambria Math" w:hAnsi="Cambria Math"/>
            </w:rPr>
            <m:t>复试总分</m:t>
          </m:r>
          <m:r>
            <m:rPr>
              <m:sty m:val="p"/>
            </m:rPr>
            <w:rPr>
              <w:rFonts w:ascii="Cambria Math" w:hAnsi="Cambria Math"/>
            </w:rPr>
            <m:t>×</m:t>
          </m:r>
          <m:r>
            <m:rPr>
              <m:sty m:val="p"/>
            </m:rPr>
            <w:rPr>
              <w:rFonts w:ascii="Cambria Math"/>
            </w:rPr>
            <m:t>0.4</m:t>
          </m:r>
        </m:oMath>
      </m:oMathPara>
    </w:p>
    <w:p>
      <w:pPr>
        <w:spacing w:line="312" w:lineRule="auto"/>
        <w:ind w:left="420" w:firstLine="480" w:firstLineChars="200"/>
        <w:rPr>
          <w:kern w:val="0"/>
          <w:sz w:val="24"/>
        </w:rPr>
      </w:pPr>
      <w:r>
        <w:rPr>
          <w:rFonts w:hint="eastAsia"/>
          <w:kern w:val="0"/>
          <w:sz w:val="24"/>
        </w:rPr>
        <w:t>调剂生录取总分计算公式如下：</w:t>
      </w:r>
    </w:p>
    <w:p>
      <w:pPr>
        <w:spacing w:line="312" w:lineRule="auto"/>
        <w:ind w:left="420"/>
        <w:jc w:val="center"/>
        <w:rPr>
          <w:kern w:val="0"/>
          <w:sz w:val="24"/>
        </w:rPr>
      </w:pPr>
      <m:oMath>
        <m:f>
          <m:fPr>
            <m:ctrlPr>
              <w:rPr>
                <w:rFonts w:ascii="Cambria Math" w:hAnsi="Cambria Math" w:eastAsia="Cambria Math"/>
                <w:sz w:val="24"/>
              </w:rPr>
            </m:ctrlPr>
          </m:fPr>
          <m:num>
            <m:r>
              <m:rPr>
                <m:sty m:val="p"/>
              </m:rPr>
              <w:rPr>
                <w:rFonts w:hint="eastAsia" w:ascii="Cambria Math" w:hAnsi="Cambria Math" w:cs="宋体"/>
                <w:sz w:val="24"/>
              </w:rPr>
              <m:t>统考成绩</m:t>
            </m:r>
            <m:ctrlPr>
              <w:rPr>
                <w:rFonts w:ascii="Cambria Math" w:hAnsi="Cambria Math" w:eastAsia="Cambria Math"/>
                <w:sz w:val="24"/>
              </w:rPr>
            </m:ctrlPr>
          </m:num>
          <m:den>
            <m:r>
              <m:rPr>
                <m:sty m:val="p"/>
              </m:rPr>
              <w:rPr>
                <w:rFonts w:hint="eastAsia" w:ascii="Cambria Math" w:hAnsi="Cambria Math" w:cs="Cambria Math" w:eastAsiaTheme="minorEastAsia"/>
                <w:sz w:val="24"/>
              </w:rPr>
              <m:t>2</m:t>
            </m:r>
            <m:ctrlPr>
              <w:rPr>
                <w:rFonts w:ascii="Cambria Math" w:hAnsi="Cambria Math" w:eastAsia="Cambria Math"/>
                <w:sz w:val="24"/>
              </w:rPr>
            </m:ctrlPr>
          </m:den>
        </m:f>
        <m:r>
          <m:rPr>
            <m:sty m:val="p"/>
          </m:rPr>
          <w:rPr>
            <w:rFonts w:ascii="Cambria Math" w:hAnsi="Cambria Math"/>
            <w:sz w:val="24"/>
          </w:rPr>
          <m:t>×0.6+</m:t>
        </m:r>
        <m:r>
          <m:rPr>
            <m:sty m:val="p"/>
          </m:rPr>
          <w:rPr>
            <w:rFonts w:hint="eastAsia" w:ascii="Cambria Math" w:hAnsi="Cambria Math"/>
            <w:sz w:val="24"/>
          </w:rPr>
          <m:t>复试总分</m:t>
        </m:r>
        <m:r>
          <m:rPr>
            <m:sty m:val="p"/>
          </m:rPr>
          <w:rPr>
            <w:rFonts w:ascii="Cambria Math" w:hAnsi="Cambria Math"/>
            <w:sz w:val="24"/>
          </w:rPr>
          <m:t>×</m:t>
        </m:r>
        <m:r>
          <m:rPr>
            <m:sty m:val="p"/>
          </m:rPr>
          <w:rPr>
            <w:rFonts w:ascii="Cambria Math"/>
            <w:sz w:val="24"/>
          </w:rPr>
          <m:t>0.4</m:t>
        </m:r>
      </m:oMath>
      <w:r>
        <w:rPr>
          <w:kern w:val="0"/>
          <w:sz w:val="24"/>
        </w:rPr>
        <w:t xml:space="preserve">   </w:t>
      </w:r>
    </w:p>
    <w:p>
      <w:pPr>
        <w:spacing w:line="312" w:lineRule="auto"/>
        <w:ind w:left="420"/>
        <w:jc w:val="center"/>
        <w:rPr>
          <w:kern w:val="0"/>
          <w:sz w:val="24"/>
        </w:rPr>
      </w:pPr>
      <w:r>
        <w:rPr>
          <w:rFonts w:hint="eastAsia"/>
          <w:kern w:val="0"/>
          <w:sz w:val="24"/>
        </w:rPr>
        <w:t>在心理测试合格后，按照总分从高到低的顺序进行录取。</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复试基本原则 </w:t>
      </w:r>
    </w:p>
    <w:p>
      <w:pPr>
        <w:spacing w:line="312" w:lineRule="auto"/>
        <w:ind w:left="567" w:leftChars="229" w:hanging="86" w:hangingChars="36"/>
        <w:rPr>
          <w:bCs/>
          <w:sz w:val="24"/>
        </w:rPr>
      </w:pPr>
      <w:r>
        <w:rPr>
          <w:rFonts w:hint="eastAsia"/>
          <w:bCs/>
          <w:sz w:val="24"/>
        </w:rPr>
        <w:t>1．实行差额复试，复试比例不低于 120%</w:t>
      </w:r>
    </w:p>
    <w:p>
      <w:pPr>
        <w:spacing w:line="312" w:lineRule="auto"/>
        <w:ind w:firstLine="480" w:firstLineChars="200"/>
        <w:rPr>
          <w:bCs/>
          <w:sz w:val="24"/>
        </w:rPr>
      </w:pPr>
      <w:r>
        <w:rPr>
          <w:rFonts w:hint="eastAsia"/>
          <w:bCs/>
          <w:sz w:val="24"/>
        </w:rPr>
        <w:t>2．公开、公正、公平</w:t>
      </w:r>
    </w:p>
    <w:p>
      <w:pPr>
        <w:spacing w:line="312" w:lineRule="auto"/>
        <w:ind w:firstLine="480" w:firstLineChars="200"/>
        <w:rPr>
          <w:bCs/>
          <w:sz w:val="24"/>
        </w:rPr>
      </w:pPr>
      <w:r>
        <w:rPr>
          <w:rFonts w:hint="eastAsia"/>
          <w:bCs/>
          <w:sz w:val="24"/>
        </w:rPr>
        <w:t>3．按</w:t>
      </w:r>
      <w:r>
        <w:rPr>
          <w:rFonts w:hint="eastAsia"/>
          <w:kern w:val="0"/>
          <w:sz w:val="24"/>
        </w:rPr>
        <w:t>录取总分</w:t>
      </w:r>
      <w:r>
        <w:rPr>
          <w:rFonts w:hint="eastAsia"/>
          <w:bCs/>
          <w:sz w:val="24"/>
        </w:rPr>
        <w:t>择优录取</w:t>
      </w:r>
    </w:p>
    <w:p>
      <w:pPr>
        <w:numPr>
          <w:ilvl w:val="0"/>
          <w:numId w:val="1"/>
        </w:numPr>
        <w:spacing w:before="156" w:beforeLines="50" w:after="156" w:afterLines="50" w:line="340" w:lineRule="exact"/>
        <w:ind w:firstLine="482" w:firstLineChars="200"/>
        <w:rPr>
          <w:rFonts w:eastAsia="黑体"/>
          <w:b/>
          <w:sz w:val="24"/>
        </w:rPr>
      </w:pPr>
      <w:r>
        <w:rPr>
          <w:rFonts w:hint="eastAsia" w:eastAsia="黑体"/>
          <w:b/>
          <w:sz w:val="24"/>
        </w:rPr>
        <w:t xml:space="preserve">下列考生不予录取 </w:t>
      </w:r>
    </w:p>
    <w:p>
      <w:pPr>
        <w:spacing w:line="312" w:lineRule="auto"/>
        <w:ind w:firstLine="480" w:firstLineChars="200"/>
        <w:rPr>
          <w:bCs/>
          <w:sz w:val="24"/>
        </w:rPr>
      </w:pPr>
      <w:r>
        <w:rPr>
          <w:rFonts w:hint="eastAsia"/>
          <w:bCs/>
          <w:sz w:val="24"/>
        </w:rPr>
        <w:t>1．加试成绩不及格</w:t>
      </w:r>
    </w:p>
    <w:p>
      <w:pPr>
        <w:spacing w:line="312" w:lineRule="auto"/>
        <w:ind w:firstLine="480" w:firstLineChars="200"/>
        <w:rPr>
          <w:bCs/>
          <w:sz w:val="24"/>
        </w:rPr>
      </w:pPr>
      <w:r>
        <w:rPr>
          <w:rFonts w:hint="eastAsia"/>
          <w:bCs/>
          <w:sz w:val="24"/>
        </w:rPr>
        <w:t>2．复试成绩不合格者</w:t>
      </w:r>
    </w:p>
    <w:p>
      <w:pPr>
        <w:spacing w:line="312" w:lineRule="auto"/>
        <w:ind w:firstLine="480" w:firstLineChars="200"/>
        <w:rPr>
          <w:bCs/>
          <w:sz w:val="24"/>
        </w:rPr>
      </w:pPr>
      <w:r>
        <w:rPr>
          <w:rFonts w:hint="eastAsia"/>
          <w:bCs/>
          <w:sz w:val="24"/>
        </w:rPr>
        <w:t xml:space="preserve">3. </w:t>
      </w:r>
      <w:r>
        <w:rPr>
          <w:rFonts w:hint="eastAsia"/>
          <w:bCs/>
          <w:sz w:val="24"/>
        </w:rPr>
        <w:tab/>
      </w:r>
      <w:r>
        <w:rPr>
          <w:rFonts w:hint="eastAsia"/>
          <w:bCs/>
          <w:sz w:val="24"/>
        </w:rPr>
        <w:t>其他不合格的情况</w:t>
      </w:r>
    </w:p>
    <w:p/>
    <w:sectPr>
      <w:headerReference r:id="rId3" w:type="default"/>
      <w:footerReference r:id="rId4" w:type="even"/>
      <w:type w:val="continuous"/>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2FF" w:usb1="42002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341680"/>
    <w:multiLevelType w:val="multilevel"/>
    <w:tmpl w:val="06341680"/>
    <w:lvl w:ilvl="0" w:tentative="0">
      <w:start w:val="1"/>
      <w:numFmt w:val="decimal"/>
      <w:lvlText w:val="%1."/>
      <w:lvlJc w:val="left"/>
      <w:pPr>
        <w:ind w:left="842" w:hanging="36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1">
    <w:nsid w:val="3BEE21AB"/>
    <w:multiLevelType w:val="singleLevel"/>
    <w:tmpl w:val="3BEE21A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225"/>
    <w:rsid w:val="0002335C"/>
    <w:rsid w:val="00053CDC"/>
    <w:rsid w:val="00060FC2"/>
    <w:rsid w:val="0006294E"/>
    <w:rsid w:val="000829D4"/>
    <w:rsid w:val="000B3DF5"/>
    <w:rsid w:val="000B41B6"/>
    <w:rsid w:val="000E12CB"/>
    <w:rsid w:val="00103B3D"/>
    <w:rsid w:val="0018105D"/>
    <w:rsid w:val="001A2A14"/>
    <w:rsid w:val="001D65AD"/>
    <w:rsid w:val="001E4BD2"/>
    <w:rsid w:val="001F4D35"/>
    <w:rsid w:val="00232176"/>
    <w:rsid w:val="002323FD"/>
    <w:rsid w:val="002D14BF"/>
    <w:rsid w:val="002D638A"/>
    <w:rsid w:val="0033116C"/>
    <w:rsid w:val="00345CF4"/>
    <w:rsid w:val="003D6AA0"/>
    <w:rsid w:val="004425A4"/>
    <w:rsid w:val="004C0800"/>
    <w:rsid w:val="004C1225"/>
    <w:rsid w:val="004C2FE8"/>
    <w:rsid w:val="004C44C1"/>
    <w:rsid w:val="004D317E"/>
    <w:rsid w:val="004D55FD"/>
    <w:rsid w:val="004E1365"/>
    <w:rsid w:val="0051790F"/>
    <w:rsid w:val="00533F44"/>
    <w:rsid w:val="00556D7C"/>
    <w:rsid w:val="00567C09"/>
    <w:rsid w:val="005F5F79"/>
    <w:rsid w:val="00615A22"/>
    <w:rsid w:val="00636AFA"/>
    <w:rsid w:val="006B42FE"/>
    <w:rsid w:val="006D184D"/>
    <w:rsid w:val="007160FD"/>
    <w:rsid w:val="007528F6"/>
    <w:rsid w:val="00782A47"/>
    <w:rsid w:val="007932B7"/>
    <w:rsid w:val="007C27C6"/>
    <w:rsid w:val="007F527A"/>
    <w:rsid w:val="00802125"/>
    <w:rsid w:val="00817C40"/>
    <w:rsid w:val="00853AA3"/>
    <w:rsid w:val="00865733"/>
    <w:rsid w:val="00874B4B"/>
    <w:rsid w:val="008826CB"/>
    <w:rsid w:val="0088403B"/>
    <w:rsid w:val="008A5EB5"/>
    <w:rsid w:val="008E20B7"/>
    <w:rsid w:val="0091075E"/>
    <w:rsid w:val="00910E98"/>
    <w:rsid w:val="009560E7"/>
    <w:rsid w:val="00964957"/>
    <w:rsid w:val="0097019B"/>
    <w:rsid w:val="00983B3C"/>
    <w:rsid w:val="009B5060"/>
    <w:rsid w:val="009C4123"/>
    <w:rsid w:val="00A01C17"/>
    <w:rsid w:val="00A02C91"/>
    <w:rsid w:val="00A07A27"/>
    <w:rsid w:val="00A37F46"/>
    <w:rsid w:val="00A96DD7"/>
    <w:rsid w:val="00AC37DD"/>
    <w:rsid w:val="00AD3E0F"/>
    <w:rsid w:val="00AE33E7"/>
    <w:rsid w:val="00B63281"/>
    <w:rsid w:val="00B74B9D"/>
    <w:rsid w:val="00B75CF3"/>
    <w:rsid w:val="00B87DA9"/>
    <w:rsid w:val="00BA594B"/>
    <w:rsid w:val="00BD3978"/>
    <w:rsid w:val="00BF0A47"/>
    <w:rsid w:val="00BF4582"/>
    <w:rsid w:val="00C06371"/>
    <w:rsid w:val="00C76F38"/>
    <w:rsid w:val="00CD3393"/>
    <w:rsid w:val="00CE0453"/>
    <w:rsid w:val="00CE7502"/>
    <w:rsid w:val="00D809BC"/>
    <w:rsid w:val="00D818A5"/>
    <w:rsid w:val="00D81E7F"/>
    <w:rsid w:val="00DA68FD"/>
    <w:rsid w:val="00E40C40"/>
    <w:rsid w:val="00E81434"/>
    <w:rsid w:val="00E929A4"/>
    <w:rsid w:val="00EC5943"/>
    <w:rsid w:val="00F72389"/>
    <w:rsid w:val="00FB1ED2"/>
    <w:rsid w:val="090B67A8"/>
    <w:rsid w:val="222B1CEE"/>
    <w:rsid w:val="24323D6C"/>
    <w:rsid w:val="27784B81"/>
    <w:rsid w:val="2D454257"/>
    <w:rsid w:val="36F76422"/>
    <w:rsid w:val="3C560F4C"/>
    <w:rsid w:val="56A15C9D"/>
    <w:rsid w:val="6D212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8">
    <w:name w:val="page number"/>
    <w:basedOn w:val="7"/>
    <w:qFormat/>
    <w:uiPriority w:val="0"/>
  </w:style>
  <w:style w:type="character" w:styleId="9">
    <w:name w:val="Hyperlink"/>
    <w:basedOn w:val="7"/>
    <w:unhideWhenUsed/>
    <w:qFormat/>
    <w:uiPriority w:val="99"/>
    <w:rPr>
      <w:color w:val="0000FF"/>
      <w:u w:val="single"/>
    </w:rPr>
  </w:style>
  <w:style w:type="character" w:customStyle="1" w:styleId="10">
    <w:name w:val="yxNone"/>
    <w:qFormat/>
    <w:uiPriority w:val="0"/>
  </w:style>
  <w:style w:type="character" w:customStyle="1" w:styleId="11">
    <w:name w:val="批注框文本 字符"/>
    <w:link w:val="2"/>
    <w:qFormat/>
    <w:uiPriority w:val="0"/>
    <w:rPr>
      <w:kern w:val="2"/>
      <w:sz w:val="18"/>
      <w:szCs w:val="18"/>
    </w:rPr>
  </w:style>
  <w:style w:type="character" w:customStyle="1" w:styleId="12">
    <w:name w:val="t1"/>
    <w:basedOn w:val="7"/>
    <w:qFormat/>
    <w:uiPriority w:val="0"/>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167</Words>
  <Characters>957</Characters>
  <Lines>7</Lines>
  <Paragraphs>2</Paragraphs>
  <TotalTime>2</TotalTime>
  <ScaleCrop>false</ScaleCrop>
  <LinksUpToDate>false</LinksUpToDate>
  <CharactersWithSpaces>1122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2021-03-20T11:39:00Z</dcterms:created>
  <dc:creator>john</dc:creator>
  <cp:lastModifiedBy>Administrator</cp:lastModifiedBy>
  <dcterms:modified xsi:type="dcterms:W3CDTF">2022-03-18T01:32:08Z</dcterms:modified>
  <dc:title>《化学》专业硕士研究生复试录取工作细则</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4AA1642F5F1A44C59E7B4B81F2048350</vt:lpwstr>
  </property>
</Properties>
</file>